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rFonts w:ascii="Times New Roman;serif" w:hAnsi="Times New Roman;serif"/>
          <w:b/>
          <w:i w:val="false"/>
          <w:caps w:val="false"/>
          <w:smallCaps w:val="false"/>
          <w:sz w:val="36"/>
          <w:bdr w:val="double" w:sz="12" w:space="1" w:color="000000"/>
        </w:rPr>
      </w:pPr>
      <w:bookmarkStart w:id="0" w:name="htfl-20260616x8k.htm"/>
      <w:bookmarkStart w:id="1" w:name="kshtfl20260616x8k"/>
      <w:bookmarkEnd w:id="0"/>
      <w:bookmarkEnd w:id="1"/>
      <w:r>
        <w:rPr>
          <w:rFonts w:ascii="Times New Roman;serif" w:hAnsi="Times New Roman;serif"/>
          <w:b/>
          <w:i w:val="false"/>
          <w:caps w:val="false"/>
          <w:smallCaps w:val="false"/>
          <w:sz w:val="36"/>
          <w:bdr w:val="double" w:sz="12" w:space="1" w:color="000000"/>
        </w:rPr>
        <w:t>UNITED STATES</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SECURITIES AND EXCHANGE COMMISSION</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WASHINGTON, D.C. 20549</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______________________</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FORM 8-K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______________________</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CURRENT REPORT</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Pursuant to Section 13 or 15(d) of the Securities Exchange Act of 1934</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Date of Report (Date of earliest event reported): June 16, 2026</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______________________</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Heartflow, Inc.</w:t>
      </w:r>
    </w:p>
    <w:p>
      <w:pPr>
        <w:pStyle w:val="TextBody"/>
        <w:bidi w:val="0"/>
        <w:spacing w:lineRule="auto" w:line="259"/>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(Exact name of Registrant as Specified in Its Charter)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______________________</w:t>
      </w:r>
    </w:p>
    <w:tbl>
      <w:tblPr>
        <w:tblW w:w="6513" w:type="dxa"/>
        <w:jc w:val="center"/>
        <w:tblInd w:w="0" w:type="dxa"/>
        <w:tblLayout w:type="fixed"/>
        <w:tblCellMar>
          <w:top w:w="0" w:type="dxa"/>
          <w:left w:w="0" w:type="dxa"/>
          <w:bottom w:w="0" w:type="dxa"/>
          <w:right w:w="0" w:type="dxa"/>
        </w:tblCellMar>
      </w:tblPr>
      <w:tblGrid>
        <w:gridCol w:w="2446"/>
        <w:gridCol w:w="2386"/>
        <w:gridCol w:w="1681"/>
      </w:tblGrid>
      <w:tr>
        <w:trPr/>
        <w:tc>
          <w:tcPr>
            <w:tcW w:w="24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Delaware</w:t>
            </w:r>
          </w:p>
        </w:tc>
        <w:tc>
          <w:tcPr>
            <w:tcW w:w="238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001-42790</w:t>
            </w:r>
          </w:p>
        </w:tc>
        <w:tc>
          <w:tcPr>
            <w:tcW w:w="1681" w:type="dxa"/>
            <w:tcBorders/>
            <w:vAlign w:val="center"/>
          </w:tcPr>
          <w:p>
            <w:pPr>
              <w:pStyle w:val="TableContents"/>
              <w:bidi w:val="0"/>
              <w:spacing w:lineRule="auto" w:line="360"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26-0506743</w:t>
            </w:r>
          </w:p>
        </w:tc>
      </w:tr>
      <w:tr>
        <w:trPr/>
        <w:tc>
          <w:tcPr>
            <w:tcW w:w="2446" w:type="dxa"/>
            <w:tcBorders/>
            <w:vAlign w:val="center"/>
          </w:tcPr>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(State or Other Jurisdiction</w:t>
            </w:r>
          </w:p>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 Incorporation)</w:t>
            </w:r>
          </w:p>
        </w:tc>
        <w:tc>
          <w:tcPr>
            <w:tcW w:w="238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(Commission File Number)</w:t>
            </w:r>
          </w:p>
        </w:tc>
        <w:tc>
          <w:tcPr>
            <w:tcW w:w="1681" w:type="dxa"/>
            <w:tcBorders/>
            <w:vAlign w:val="center"/>
          </w:tcPr>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(IRS Employer</w:t>
            </w:r>
          </w:p>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Identification No.)</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135 Main Street, Suite 1000</w:t>
      </w:r>
    </w:p>
    <w:p>
      <w:pPr>
        <w:pStyle w:val="TextBody"/>
        <w:bidi w:val="0"/>
        <w:spacing w:lineRule="auto" w:line="276"/>
        <w:rPr>
          <w:rFonts w:ascii="Times New Roman;serif" w:hAnsi="Times New Roman;serif"/>
          <w:sz w:val="20"/>
        </w:rPr>
      </w:pPr>
      <w:r>
        <w:rPr>
          <w:rFonts w:ascii="Times New Roman;serif" w:hAnsi="Times New Roman;serif"/>
          <w:b/>
          <w:i w:val="false"/>
          <w:caps w:val="false"/>
          <w:smallCaps w:val="false"/>
          <w:sz w:val="20"/>
        </w:rPr>
        <w:t>San Francisco, California</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94105</w:t>
      </w:r>
    </w:p>
    <w:p>
      <w:pPr>
        <w:pStyle w:val="TextBody"/>
        <w:bidi w:val="0"/>
        <w:spacing w:lineRule="auto" w:line="259"/>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(Address of Principal Executive Offices) (Zip Code)</w:t>
      </w:r>
    </w:p>
    <w:p>
      <w:pPr>
        <w:pStyle w:val="TextBody"/>
        <w:bidi w:val="0"/>
        <w:spacing w:lineRule="auto" w:line="276"/>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(650) 241-1221</w:t>
      </w:r>
    </w:p>
    <w:p>
      <w:pPr>
        <w:pStyle w:val="TextBody"/>
        <w:bidi w:val="0"/>
        <w:spacing w:lineRule="auto" w:line="259"/>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(Registrant’s Telephone Number, Including Area Code)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______________________</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Check the appropriate box below if the Form 8-K filing is intended to simultaneously satisfy the filing obligation of the registrant under any of the following provisions: </w:t>
      </w:r>
    </w:p>
    <w:tbl>
      <w:tblPr>
        <w:tblW w:w="9557" w:type="dxa"/>
        <w:jc w:val="left"/>
        <w:tblInd w:w="0" w:type="dxa"/>
        <w:tblLayout w:type="fixed"/>
        <w:tblCellMar>
          <w:top w:w="0" w:type="dxa"/>
          <w:left w:w="0" w:type="dxa"/>
          <w:bottom w:w="0" w:type="dxa"/>
          <w:right w:w="0"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Written communications pursuant to Rule 425 under the Securities Act (17 CFR 230.425) </w:t>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Soliciting material pursuant to Rule 14a-12 under the Exchange Act (17 CFR 240.14a-12) </w:t>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Pre-commencement communications pursuant to Rule 14d-2(b) under the Exchange Act (17 CFR 240.14d-2(b)) </w:t>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Pre-commencement communications pursuant to Rule 13e-4(c) under the Exchange Act (17 CFR 240.13e-4(c)) </w:t>
            </w:r>
          </w:p>
        </w:tc>
      </w:tr>
    </w:tbl>
    <w:p>
      <w:pPr>
        <w:pStyle w:val="TextBody"/>
        <w:bidi w:val="0"/>
        <w:spacing w:lineRule="auto" w:line="259" w:before="0" w:after="1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8141" w:type="dxa"/>
        <w:jc w:val="left"/>
        <w:tblInd w:w="0" w:type="dxa"/>
        <w:tblLayout w:type="fixed"/>
        <w:tblCellMar>
          <w:top w:w="0" w:type="dxa"/>
          <w:left w:w="0" w:type="dxa"/>
          <w:bottom w:w="0" w:type="dxa"/>
          <w:right w:w="0" w:type="dxa"/>
        </w:tblCellMar>
      </w:tblPr>
      <w:tblGrid>
        <w:gridCol w:w="3151"/>
        <w:gridCol w:w="109"/>
        <w:gridCol w:w="1456"/>
        <w:gridCol w:w="109"/>
        <w:gridCol w:w="3316"/>
      </w:tblGrid>
      <w:tr>
        <w:trPr/>
        <w:tc>
          <w:tcPr>
            <w:tcW w:w="3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Title of each class</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Trading Symbol(s)</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Name of each exchange on which registered</w:t>
            </w:r>
          </w:p>
        </w:tc>
      </w:tr>
      <w:tr>
        <w:trPr/>
        <w:tc>
          <w:tcPr>
            <w:tcW w:w="31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Common Stock, $0.001 par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HTFL</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top w:val="single" w:sz="8" w:space="0" w:color="000000"/>
            </w:tcBorders>
            <w:tcMar>
              <w:top w:w="28" w:type="dxa"/>
            </w:tcMar>
            <w:vAlign w:val="center"/>
          </w:tcPr>
          <w:p>
            <w:pPr>
              <w:pStyle w:val="TableContents"/>
              <w:bidi w:val="0"/>
              <w:spacing w:lineRule="auto" w:line="259"/>
              <w:rPr>
                <w:rFonts w:ascii="Times New Roman;serif" w:hAnsi="Times New Roman;serif"/>
                <w:sz w:val="16"/>
              </w:rPr>
            </w:pPr>
            <w:r>
              <w:rPr>
                <w:rFonts w:ascii="Times New Roman;serif" w:hAnsi="Times New Roman;serif"/>
                <w:b w:val="false"/>
                <w:i w:val="false"/>
                <w:caps w:val="false"/>
                <w:smallCaps w:val="false"/>
                <w:sz w:val="16"/>
              </w:rPr>
              <w:t>The Nasdaq</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Stock Market LLC</w:t>
            </w:r>
          </w:p>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(Nasdaq Global Select Market)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Emerging growth company  </w:t>
      </w:r>
      <w:r>
        <w:rPr>
          <w:rFonts w:ascii="Wingdings" w:hAnsi="Wingdings"/>
          <w:b w:val="false"/>
          <w:i w:val="false"/>
          <w:caps w:val="false"/>
          <w:smallCaps w:val="false"/>
          <w:sz w:val="20"/>
        </w:rPr>
        <w:t>x</w:t>
      </w:r>
    </w:p>
    <w:p>
      <w:pPr>
        <w:pStyle w:val="TextBody"/>
        <w:bidi w:val="0"/>
        <w:spacing w:lineRule="auto" w:line="259"/>
        <w:rPr>
          <w:rFonts w:ascii="Times New Roman;serif" w:hAnsi="Times New Roman;serif"/>
          <w:sz w:val="20"/>
          <w:bdr w:val="double" w:sz="12" w:space="1" w:color="000000"/>
        </w:rPr>
      </w:pPr>
      <w:r>
        <w:rPr>
          <w:rFonts w:ascii="Times New Roman;serif" w:hAnsi="Times New Roman;serif"/>
          <w:b w:val="false"/>
          <w:i w:val="false"/>
          <w:caps w:val="false"/>
          <w:smallCaps w:val="false"/>
          <w:sz w:val="20"/>
          <w:bdr w:val="double" w:sz="12" w:space="1" w:color="00000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bdr w:val="double" w:sz="12" w:space="1" w:color="000000"/>
        </w:rPr>
        <w:t>☐</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5.07 Submission</w:t>
      </w:r>
      <w:r>
        <w:rPr>
          <w:rFonts w:ascii="Times New Roman;serif" w:hAnsi="Times New Roman;serif"/>
          <w:caps w:val="false"/>
          <w:smallCaps w:val="false"/>
          <w:spacing w:val="0"/>
          <w:sz w:val="20"/>
        </w:rPr>
        <w:t xml:space="preserve"> </w:t>
      </w:r>
      <w:r>
        <w:rPr>
          <w:rFonts w:ascii="Times New Roman;serif" w:hAnsi="Times New Roman;serif"/>
          <w:b/>
          <w:i w:val="false"/>
          <w:caps w:val="false"/>
          <w:smallCaps w:val="false"/>
          <w:sz w:val="20"/>
        </w:rPr>
        <w:t>of</w:t>
      </w:r>
      <w:r>
        <w:rPr>
          <w:rFonts w:ascii="Times New Roman;serif" w:hAnsi="Times New Roman;serif"/>
          <w:caps w:val="false"/>
          <w:smallCaps w:val="false"/>
          <w:spacing w:val="0"/>
          <w:sz w:val="20"/>
        </w:rPr>
        <w:t xml:space="preserve"> </w:t>
      </w:r>
      <w:r>
        <w:rPr>
          <w:rFonts w:ascii="Times New Roman;serif" w:hAnsi="Times New Roman;serif"/>
          <w:b/>
          <w:i w:val="false"/>
          <w:caps w:val="false"/>
          <w:smallCaps w:val="false"/>
          <w:sz w:val="20"/>
        </w:rPr>
        <w:t>Matters</w:t>
      </w:r>
      <w:r>
        <w:rPr>
          <w:rFonts w:ascii="Times New Roman;serif" w:hAnsi="Times New Roman;serif"/>
          <w:caps w:val="false"/>
          <w:smallCaps w:val="false"/>
          <w:spacing w:val="0"/>
          <w:sz w:val="20"/>
        </w:rPr>
        <w:t xml:space="preserve"> </w:t>
      </w:r>
      <w:r>
        <w:rPr>
          <w:rFonts w:ascii="Times New Roman;serif" w:hAnsi="Times New Roman;serif"/>
          <w:b/>
          <w:i w:val="false"/>
          <w:caps w:val="false"/>
          <w:smallCaps w:val="false"/>
          <w:sz w:val="20"/>
        </w:rPr>
        <w:t>to</w:t>
      </w:r>
      <w:r>
        <w:rPr>
          <w:rFonts w:ascii="Times New Roman;serif" w:hAnsi="Times New Roman;serif"/>
          <w:caps w:val="false"/>
          <w:smallCaps w:val="false"/>
          <w:spacing w:val="0"/>
          <w:sz w:val="20"/>
        </w:rPr>
        <w:t xml:space="preserve"> </w:t>
      </w:r>
      <w:r>
        <w:rPr>
          <w:rFonts w:ascii="Times New Roman;serif" w:hAnsi="Times New Roman;serif"/>
          <w:b/>
          <w:i w:val="false"/>
          <w:caps w:val="false"/>
          <w:smallCaps w:val="false"/>
          <w:sz w:val="20"/>
        </w:rPr>
        <w:t>a</w:t>
      </w:r>
      <w:r>
        <w:rPr>
          <w:rFonts w:ascii="Times New Roman;serif" w:hAnsi="Times New Roman;serif"/>
          <w:caps w:val="false"/>
          <w:smallCaps w:val="false"/>
          <w:spacing w:val="0"/>
          <w:sz w:val="20"/>
        </w:rPr>
        <w:t xml:space="preserve"> </w:t>
      </w:r>
      <w:r>
        <w:rPr>
          <w:rFonts w:ascii="Times New Roman;serif" w:hAnsi="Times New Roman;serif"/>
          <w:b/>
          <w:i w:val="false"/>
          <w:caps w:val="false"/>
          <w:smallCaps w:val="false"/>
          <w:sz w:val="20"/>
        </w:rPr>
        <w:t>Vote</w:t>
      </w:r>
      <w:r>
        <w:rPr>
          <w:rFonts w:ascii="Times New Roman;serif" w:hAnsi="Times New Roman;serif"/>
          <w:caps w:val="false"/>
          <w:smallCaps w:val="false"/>
          <w:spacing w:val="0"/>
          <w:sz w:val="20"/>
        </w:rPr>
        <w:t xml:space="preserve"> </w:t>
      </w:r>
      <w:r>
        <w:rPr>
          <w:rFonts w:ascii="Times New Roman;serif" w:hAnsi="Times New Roman;serif"/>
          <w:b/>
          <w:i w:val="false"/>
          <w:caps w:val="false"/>
          <w:smallCaps w:val="false"/>
          <w:sz w:val="20"/>
        </w:rPr>
        <w:t>of</w:t>
      </w:r>
      <w:r>
        <w:rPr>
          <w:rFonts w:ascii="Times New Roman;serif" w:hAnsi="Times New Roman;serif"/>
          <w:caps w:val="false"/>
          <w:smallCaps w:val="false"/>
          <w:spacing w:val="0"/>
          <w:sz w:val="20"/>
        </w:rPr>
        <w:t xml:space="preserve"> </w:t>
      </w:r>
      <w:r>
        <w:rPr>
          <w:rFonts w:ascii="Times New Roman;serif" w:hAnsi="Times New Roman;serif"/>
          <w:b/>
          <w:i w:val="false"/>
          <w:caps w:val="false"/>
          <w:smallCaps w:val="false"/>
          <w:sz w:val="20"/>
        </w:rPr>
        <w:t>Security</w:t>
      </w:r>
      <w:r>
        <w:rPr>
          <w:rFonts w:ascii="Times New Roman;serif" w:hAnsi="Times New Roman;serif"/>
          <w:caps w:val="false"/>
          <w:smallCaps w:val="false"/>
          <w:spacing w:val="0"/>
          <w:sz w:val="20"/>
        </w:rPr>
        <w:t xml:space="preserve"> </w:t>
      </w:r>
      <w:r>
        <w:rPr>
          <w:rFonts w:ascii="Times New Roman;serif" w:hAnsi="Times New Roman;serif"/>
          <w:b/>
          <w:i w:val="false"/>
          <w:caps w:val="false"/>
          <w:smallCaps w:val="false"/>
          <w:spacing w:val="0"/>
          <w:sz w:val="20"/>
        </w:rPr>
        <w:t>Holders.</w:t>
      </w:r>
    </w:p>
    <w:p>
      <w:pPr>
        <w:pStyle w:val="TextBody"/>
        <w:bidi w:val="0"/>
        <w:spacing w:lineRule="auto" w:line="259"/>
        <w:rPr>
          <w:rFonts w:ascii="Times New Roman;serif" w:hAnsi="Times New Roman;serif"/>
          <w:b w:val="false"/>
          <w:i w:val="false"/>
          <w:caps w:val="false"/>
          <w:smallCaps w:val="false"/>
          <w:color w:val="000000"/>
          <w:sz w:val="20"/>
          <w:shd w:fill="FFFFFF" w:val="clear"/>
        </w:rPr>
      </w:pPr>
      <w:r>
        <w:rPr>
          <w:rFonts w:ascii="Times New Roman;serif" w:hAnsi="Times New Roman;serif"/>
          <w:b w:val="false"/>
          <w:i w:val="false"/>
          <w:caps w:val="false"/>
          <w:smallCaps w:val="false"/>
          <w:color w:val="000000"/>
          <w:sz w:val="20"/>
          <w:shd w:fill="FFFFFF" w:val="clear"/>
        </w:rPr>
        <w:t>The 2026 Annual Meeting of Stockholders (the “Meeting”) of Heartflow, Inc. (the “Company”) was held on June 16, 2026. At the Meeting, the Company’s stockholders voted on the following two proposals and cast their votes as described below.</w:t>
      </w:r>
    </w:p>
    <w:p>
      <w:pPr>
        <w:pStyle w:val="TextBody"/>
        <w:bidi w:val="0"/>
        <w:spacing w:lineRule="auto" w:line="244"/>
        <w:rPr>
          <w:rFonts w:ascii="Times New Roman;serif" w:hAnsi="Times New Roman;serif"/>
          <w:sz w:val="20"/>
        </w:rPr>
      </w:pPr>
      <w:r>
        <w:rPr>
          <w:rFonts w:ascii="Times New Roman;serif" w:hAnsi="Times New Roman;serif"/>
          <w:b w:val="false"/>
          <w:i w:val="false"/>
          <w:caps w:val="false"/>
          <w:smallCaps w:val="false"/>
          <w:color w:val="212121"/>
          <w:spacing w:val="0"/>
          <w:sz w:val="18"/>
        </w:rPr>
        <w:t>1.</w:t>
      </w:r>
      <w:r>
        <w:rPr>
          <w:rFonts w:ascii="Times New Roman;serif" w:hAnsi="Times New Roman;serif"/>
          <w:b w:val="false"/>
          <w:i w:val="false"/>
          <w:caps w:val="false"/>
          <w:smallCaps w:val="false"/>
          <w:color w:val="212121"/>
          <w:sz w:val="20"/>
        </w:rPr>
        <w:t>Each of the following Class I director nominees of the Company was elected to serve on the Company’s board of directors for a three-year term expiring at the Company’s 2029 Annual Meeting of Stockholders and until their successors have been duly elected and qualified by the following vote:</w:t>
      </w:r>
    </w:p>
    <w:tbl>
      <w:tblPr>
        <w:tblW w:w="5374" w:type="dxa"/>
        <w:jc w:val="center"/>
        <w:tblInd w:w="0" w:type="dxa"/>
        <w:tblLayout w:type="fixed"/>
        <w:tblCellMar>
          <w:top w:w="0" w:type="dxa"/>
          <w:left w:w="0" w:type="dxa"/>
          <w:bottom w:w="0" w:type="dxa"/>
          <w:right w:w="0" w:type="dxa"/>
        </w:tblCellMar>
      </w:tblPr>
      <w:tblGrid>
        <w:gridCol w:w="1726"/>
        <w:gridCol w:w="1036"/>
        <w:gridCol w:w="931"/>
        <w:gridCol w:w="1681"/>
      </w:tblGrid>
      <w:tr>
        <w:trPr/>
        <w:tc>
          <w:tcPr>
            <w:tcW w:w="17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7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Nominee</w:t>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w:t>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Withheld</w:t>
            </w:r>
          </w:p>
        </w:tc>
        <w:tc>
          <w:tcPr>
            <w:tcW w:w="16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Broker Non-Votes</w:t>
            </w:r>
          </w:p>
        </w:tc>
      </w:tr>
      <w:tr>
        <w:trPr/>
        <w:tc>
          <w:tcPr>
            <w:tcW w:w="17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Julie A. Cullivan</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51,986,481</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6,046,730</w:t>
            </w:r>
          </w:p>
        </w:tc>
        <w:tc>
          <w:tcPr>
            <w:tcW w:w="16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11,550,151</w:t>
            </w:r>
          </w:p>
        </w:tc>
      </w:tr>
      <w:tr>
        <w:trPr/>
        <w:tc>
          <w:tcPr>
            <w:tcW w:w="17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John C.M. Farquhar</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52,277,825</w:t>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5,755,386</w:t>
            </w:r>
          </w:p>
        </w:tc>
        <w:tc>
          <w:tcPr>
            <w:tcW w:w="16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11,550,151</w:t>
            </w:r>
          </w:p>
        </w:tc>
      </w:tr>
    </w:tbl>
    <w:p>
      <w:pPr>
        <w:pStyle w:val="TextBody"/>
        <w:bidi w:val="0"/>
        <w:spacing w:lineRule="auto" w:line="244"/>
        <w:rPr>
          <w:rFonts w:ascii="Times New Roman;serif" w:hAnsi="Times New Roman;serif"/>
          <w:sz w:val="20"/>
        </w:rPr>
      </w:pPr>
      <w:r>
        <w:rPr>
          <w:rFonts w:ascii="Times New Roman;serif" w:hAnsi="Times New Roman;serif"/>
          <w:b w:val="false"/>
          <w:i w:val="false"/>
          <w:caps w:val="false"/>
          <w:smallCaps w:val="false"/>
          <w:color w:val="212121"/>
          <w:spacing w:val="0"/>
          <w:sz w:val="18"/>
        </w:rPr>
        <w:t>2.</w:t>
      </w:r>
      <w:r>
        <w:rPr>
          <w:rFonts w:ascii="Times New Roman;serif" w:hAnsi="Times New Roman;serif"/>
          <w:b w:val="false"/>
          <w:i w:val="false"/>
          <w:caps w:val="false"/>
          <w:smallCaps w:val="false"/>
          <w:color w:val="212121"/>
          <w:sz w:val="20"/>
        </w:rPr>
        <w:t>The proposal to ratify the appointment of PricewaterhouseCoopers LLP as the Company’s independent registered public accounting firm for the fiscal year ending December 31, 2026 was approved by the following vote:</w:t>
      </w:r>
    </w:p>
    <w:tbl>
      <w:tblPr>
        <w:tblW w:w="4459" w:type="dxa"/>
        <w:jc w:val="center"/>
        <w:tblInd w:w="0" w:type="dxa"/>
        <w:tblLayout w:type="fixed"/>
        <w:tblCellMar>
          <w:top w:w="0" w:type="dxa"/>
          <w:left w:w="0" w:type="dxa"/>
          <w:bottom w:w="0" w:type="dxa"/>
          <w:right w:w="0" w:type="dxa"/>
        </w:tblCellMar>
      </w:tblPr>
      <w:tblGrid>
        <w:gridCol w:w="1051"/>
        <w:gridCol w:w="781"/>
        <w:gridCol w:w="946"/>
        <w:gridCol w:w="1681"/>
      </w:tblGrid>
      <w:tr>
        <w:trPr/>
        <w:tc>
          <w:tcPr>
            <w:tcW w:w="105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w:t>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Against</w:t>
            </w:r>
          </w:p>
        </w:tc>
        <w:tc>
          <w:tcPr>
            <w:tcW w:w="9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Abstained</w:t>
            </w:r>
          </w:p>
        </w:tc>
        <w:tc>
          <w:tcPr>
            <w:tcW w:w="16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Broker Non-Votes</w:t>
            </w:r>
          </w:p>
        </w:tc>
      </w:tr>
      <w:tr>
        <w:trPr/>
        <w:tc>
          <w:tcPr>
            <w:tcW w:w="10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68,735,861</w:t>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717,413</w:t>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130,088</w:t>
            </w:r>
          </w:p>
        </w:tc>
        <w:tc>
          <w:tcPr>
            <w:tcW w:w="16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r>
    </w:tbl>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SIGNATURES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requirements of the Securities Exchange Act of 1934, the registrant has duly caused this report to be signed on its behalf by the undersigned hereunto duly authorized. </w:t>
      </w:r>
    </w:p>
    <w:tbl>
      <w:tblPr>
        <w:tblW w:w="4353" w:type="dxa"/>
        <w:jc w:val="left"/>
        <w:tblInd w:w="0" w:type="dxa"/>
        <w:tblLayout w:type="fixed"/>
        <w:tblCellMar>
          <w:top w:w="0" w:type="dxa"/>
          <w:left w:w="0" w:type="dxa"/>
          <w:bottom w:w="0" w:type="dxa"/>
          <w:right w:w="0" w:type="dxa"/>
        </w:tblCellMar>
      </w:tblPr>
      <w:tblGrid>
        <w:gridCol w:w="1741"/>
        <w:gridCol w:w="406"/>
        <w:gridCol w:w="2206"/>
      </w:tblGrid>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206"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2612" w:type="dxa"/>
            <w:gridSpan w:val="2"/>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HEARTFLOW, INC.</w:t>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206"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 June 18, 2026</w:t>
            </w:r>
          </w:p>
        </w:tc>
        <w:tc>
          <w:tcPr>
            <w:tcW w:w="4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w:t>
            </w:r>
          </w:p>
        </w:tc>
        <w:tc>
          <w:tcPr>
            <w:tcW w:w="2206"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Mhairi L. Jones</w:t>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206" w:type="dxa"/>
            <w:tcBorders>
              <w:top w:val="single" w:sz="8"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Mhairi L. Jones</w:t>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2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Chief Accounting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505</Words>
  <Characters>2866</Characters>
  <CharactersWithSpaces>3300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